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superfici immobili soggetti a tariffa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superfici immobili soggetti a tariffa.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