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40.000 euro e inferiore alle soglie di cui all'articolo 35, D.Lgs. 50/2016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40.000 euro e inferiore alle soglie di cui all'articolo 35, D.Lgs. 50/2016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