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Marketing territoriale, eventi e manifestazioni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manifestazioni ed eventi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sig. Benedetti Carlo </w:t>
            </w:r>
          </w:p>
          <w:p>
            <w:pPr>
              <w:jc w:val="both"/>
            </w:pPr>
            <w:r>
              <w:rPr>
                <w:sz w:val="22"/>
                <w:szCs w:val="22"/>
              </w:rPr>
              <w:t xml:space="preserve">sig. Marziali Alessandro </w:t>
            </w:r>
          </w:p>
          <w:p>
            <w:pPr>
              <w:jc w:val="both"/>
            </w:pPr>
            <w:r>
              <w:rPr>
                <w:sz w:val="22"/>
                <w:szCs w:val="22"/>
              </w:rPr>
              <w:t xml:space="preserve">sig.ra Costantini Lucilla </w:t>
            </w:r>
          </w:p>
          <w:p>
            <w:pPr>
              <w:jc w:val="both"/>
            </w:pPr>
            <w:r>
              <w:rPr>
                <w:sz w:val="22"/>
                <w:szCs w:val="22"/>
              </w:rPr>
              <w:t xml:space="preserve">Sig.ra Mancini Gianna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manifestazioni ed eventi.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